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33A0B6C" w:rsidR="00A160B2" w:rsidRDefault="00B84A87" w:rsidP="006C3150">
            <w:pPr>
              <w:pStyle w:val="Heading1"/>
              <w:outlineLvl w:val="0"/>
            </w:pPr>
            <w:r>
              <w:t>Pension Fund</w:t>
            </w:r>
            <w:r w:rsidR="00A160B2">
              <w:t xml:space="preserve"> Committee</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144CE64D" w:rsidR="00A160B2" w:rsidRDefault="00922249" w:rsidP="006C3150">
            <w:pPr>
              <w:pStyle w:val="Infotext"/>
              <w:rPr>
                <w:rFonts w:cs="Arial"/>
              </w:rPr>
            </w:pPr>
            <w:r>
              <w:rPr>
                <w:rFonts w:cs="Arial"/>
              </w:rPr>
              <w:t>13 September</w:t>
            </w:r>
            <w:r w:rsidR="00B84A87">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5817713C" w:rsidR="00A160B2" w:rsidRDefault="00EF3F74" w:rsidP="006C3150">
            <w:pPr>
              <w:pStyle w:val="Infotext"/>
              <w:rPr>
                <w:rFonts w:cs="Arial"/>
              </w:rPr>
            </w:pPr>
            <w:r>
              <w:rPr>
                <w:rFonts w:cs="Arial"/>
              </w:rPr>
              <w:t>Environmental, Social and Governance (ESG) Reporting</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1EE6639E" w14:textId="51CE7426" w:rsidR="00EF3F74" w:rsidRPr="00E56213" w:rsidRDefault="00EF3F74" w:rsidP="00EF3F74">
            <w:pPr>
              <w:jc w:val="both"/>
              <w:rPr>
                <w:rFonts w:cs="Arial"/>
                <w:sz w:val="28"/>
                <w:szCs w:val="28"/>
              </w:rPr>
            </w:pPr>
            <w:r w:rsidRPr="00E56213">
              <w:rPr>
                <w:rFonts w:cs="Arial"/>
                <w:sz w:val="28"/>
                <w:szCs w:val="28"/>
              </w:rPr>
              <w:t>Yes – (Appendi</w:t>
            </w:r>
            <w:r w:rsidR="0006111E">
              <w:rPr>
                <w:rFonts w:cs="Arial"/>
                <w:sz w:val="28"/>
                <w:szCs w:val="28"/>
              </w:rPr>
              <w:t>ces</w:t>
            </w:r>
            <w:r w:rsidRPr="00E56213">
              <w:rPr>
                <w:rFonts w:cs="Arial"/>
                <w:sz w:val="28"/>
                <w:szCs w:val="28"/>
              </w:rPr>
              <w:t xml:space="preserve"> </w:t>
            </w:r>
            <w:r>
              <w:rPr>
                <w:rFonts w:cs="Arial"/>
                <w:sz w:val="28"/>
                <w:szCs w:val="28"/>
              </w:rPr>
              <w:t xml:space="preserve">1 </w:t>
            </w:r>
            <w:r w:rsidR="0006111E">
              <w:rPr>
                <w:rFonts w:cs="Arial"/>
                <w:sz w:val="28"/>
                <w:szCs w:val="28"/>
              </w:rPr>
              <w:t xml:space="preserve">and 2 </w:t>
            </w:r>
            <w:r w:rsidRPr="00E56213">
              <w:rPr>
                <w:rFonts w:cs="Arial"/>
                <w:sz w:val="28"/>
                <w:szCs w:val="28"/>
              </w:rPr>
              <w:t xml:space="preserve">only) Exempt from publication under paragraph 3, Part 1 of Schedule 12A to the Local Government Act 1972 (as amended) as it contains information relating to the financial or business affairs of any </w:t>
            </w:r>
            <w:proofErr w:type="gramStart"/>
            <w:r w:rsidRPr="00E56213">
              <w:rPr>
                <w:rFonts w:cs="Arial"/>
                <w:sz w:val="28"/>
                <w:szCs w:val="28"/>
              </w:rPr>
              <w:t>particular</w:t>
            </w:r>
            <w:r>
              <w:rPr>
                <w:rFonts w:cs="Arial"/>
                <w:sz w:val="28"/>
                <w:szCs w:val="28"/>
              </w:rPr>
              <w:t xml:space="preserve"> </w:t>
            </w:r>
            <w:r w:rsidRPr="00E56213">
              <w:rPr>
                <w:rFonts w:cs="Arial"/>
                <w:sz w:val="28"/>
                <w:szCs w:val="28"/>
              </w:rPr>
              <w:t>person</w:t>
            </w:r>
            <w:proofErr w:type="gramEnd"/>
            <w:r w:rsidRPr="00E56213">
              <w:rPr>
                <w:rFonts w:cs="Arial"/>
                <w:sz w:val="28"/>
                <w:szCs w:val="28"/>
              </w:rPr>
              <w:t xml:space="preserve"> (including the authority holding that information)</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03A4A40A" w:rsidR="00A160B2" w:rsidRPr="003E6A2D" w:rsidRDefault="00180D94" w:rsidP="006C3150">
            <w:pPr>
              <w:pStyle w:val="Infotext"/>
              <w:rPr>
                <w:bCs/>
              </w:rPr>
            </w:pPr>
            <w:r w:rsidRPr="003E6A2D">
              <w:rPr>
                <w:bCs/>
              </w:rPr>
              <w:t>No</w:t>
            </w:r>
            <w:r w:rsidR="00A80313" w:rsidRPr="003E6A2D">
              <w:rPr>
                <w:bCs/>
              </w:rPr>
              <w:t>t applicable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Pr="0006111E" w:rsidRDefault="00A160B2" w:rsidP="006C3150">
            <w:pPr>
              <w:pStyle w:val="Infotext"/>
            </w:pPr>
          </w:p>
          <w:p w14:paraId="262200C5" w14:textId="77777777" w:rsidR="00922249" w:rsidRPr="0006111E" w:rsidRDefault="00EF3F74" w:rsidP="00A80313">
            <w:pPr>
              <w:pStyle w:val="Infotext"/>
              <w:tabs>
                <w:tab w:val="center" w:pos="2352"/>
              </w:tabs>
            </w:pPr>
            <w:r w:rsidRPr="0006111E">
              <w:t>Exempt Appendix 1 – LCIV Quarterly LLA Investment Report – Q2 2021</w:t>
            </w:r>
          </w:p>
          <w:p w14:paraId="4C232B02" w14:textId="701B010A" w:rsidR="00303D9F" w:rsidRPr="0006111E" w:rsidRDefault="00303D9F" w:rsidP="00303D9F">
            <w:pPr>
              <w:pStyle w:val="Infotext"/>
              <w:tabs>
                <w:tab w:val="center" w:pos="2352"/>
                <w:tab w:val="left" w:pos="3096"/>
              </w:tabs>
            </w:pPr>
            <w:r w:rsidRPr="0006111E">
              <w:t>Appendix 2 – (Aon) - ESG reporting template</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41297458" w14:textId="213B38D3" w:rsidR="00E2344F" w:rsidRPr="001E6E68" w:rsidRDefault="006C6CAC" w:rsidP="00E2344F">
            <w:pPr>
              <w:jc w:val="both"/>
              <w:rPr>
                <w:rFonts w:cs="Arial"/>
                <w:szCs w:val="24"/>
              </w:rPr>
            </w:pPr>
            <w:r>
              <w:rPr>
                <w:rFonts w:cs="Arial"/>
                <w:szCs w:val="24"/>
                <w:lang w:eastAsia="en-GB"/>
              </w:rPr>
              <w:t xml:space="preserve">Further to </w:t>
            </w:r>
            <w:r w:rsidR="00EF3F74">
              <w:rPr>
                <w:rFonts w:cs="Arial"/>
                <w:szCs w:val="24"/>
                <w:lang w:eastAsia="en-GB"/>
              </w:rPr>
              <w:t xml:space="preserve">discussions at the last meeting, this report considers the development of ESG reporting for the </w:t>
            </w:r>
            <w:r w:rsidR="00217FC0">
              <w:rPr>
                <w:rFonts w:cs="Arial"/>
                <w:szCs w:val="24"/>
                <w:lang w:eastAsia="en-GB"/>
              </w:rPr>
              <w:t xml:space="preserve">LBH </w:t>
            </w:r>
            <w:r w:rsidR="00EF3F74">
              <w:rPr>
                <w:rFonts w:cs="Arial"/>
                <w:szCs w:val="24"/>
                <w:lang w:eastAsia="en-GB"/>
              </w:rPr>
              <w:t xml:space="preserve">Pension Fund. </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714CBDEE" w14:textId="15FB06CD" w:rsidR="00A160B2" w:rsidRDefault="00E2344F" w:rsidP="00E2344F">
            <w:r>
              <w:t xml:space="preserve">The Committee is recommended </w:t>
            </w:r>
            <w:r w:rsidR="00922249">
              <w:t xml:space="preserve">to </w:t>
            </w:r>
            <w:r w:rsidR="00013E4E">
              <w:t>consider and</w:t>
            </w:r>
            <w:r w:rsidR="006C6CAC">
              <w:t xml:space="preserve"> </w:t>
            </w:r>
            <w:r w:rsidR="00EF3F74">
              <w:t>comment on</w:t>
            </w:r>
            <w:r w:rsidR="00922249">
              <w:t xml:space="preserve"> the </w:t>
            </w:r>
            <w:r w:rsidR="006C6CAC">
              <w:t>approach set out in this report</w:t>
            </w:r>
            <w:r w:rsidR="00922249">
              <w:t>.</w:t>
            </w:r>
            <w:r w:rsidR="00A160B2">
              <w:t xml:space="preserve">  </w:t>
            </w:r>
          </w:p>
        </w:tc>
      </w:tr>
    </w:tbl>
    <w:p w14:paraId="53DC7DE2" w14:textId="36DB607C" w:rsidR="002A2389" w:rsidRDefault="002A2389" w:rsidP="00A160B2">
      <w:pPr>
        <w:pStyle w:val="Heading2"/>
      </w:pPr>
      <w:r>
        <w:lastRenderedPageBreak/>
        <w:t>Section 2 – Report</w:t>
      </w:r>
    </w:p>
    <w:p w14:paraId="1911551C" w14:textId="77777777" w:rsidR="00E2344F" w:rsidRPr="00E2344F" w:rsidRDefault="00E2344F" w:rsidP="00E2344F"/>
    <w:p w14:paraId="6EFEFCEA" w14:textId="0271CBF2" w:rsidR="00217FC0" w:rsidRDefault="00217FC0" w:rsidP="008306D5">
      <w:pPr>
        <w:numPr>
          <w:ilvl w:val="0"/>
          <w:numId w:val="16"/>
        </w:numPr>
        <w:tabs>
          <w:tab w:val="clear" w:pos="584"/>
        </w:tabs>
        <w:ind w:left="284" w:hanging="284"/>
        <w:jc w:val="both"/>
      </w:pPr>
      <w:bookmarkStart w:id="0" w:name="_Hlk74148209"/>
      <w:r>
        <w:t>T</w:t>
      </w:r>
      <w:r w:rsidR="007808A7" w:rsidRPr="00A80313">
        <w:t xml:space="preserve">he </w:t>
      </w:r>
      <w:r w:rsidR="008306D5">
        <w:t xml:space="preserve">LGPS (Management and Investment of Funds) Regulations 2016 require </w:t>
      </w:r>
      <w:r>
        <w:t>that the Fund’s</w:t>
      </w:r>
      <w:r w:rsidR="008306D5">
        <w:t xml:space="preserve"> Investment Strategy Statement (ISS)</w:t>
      </w:r>
      <w:r>
        <w:t>, should include details of the authority’s policy on ESG matters</w:t>
      </w:r>
      <w:r w:rsidR="008306D5">
        <w:t xml:space="preserve">. The </w:t>
      </w:r>
      <w:r>
        <w:t xml:space="preserve">ISS is reviewed elsewhere on this agenda. At the committee’s last meeting, members </w:t>
      </w:r>
      <w:r w:rsidR="00923BAE">
        <w:t xml:space="preserve">requested further information on ESG reporting. This report provides some background for consideration and </w:t>
      </w:r>
      <w:r w:rsidR="00927177">
        <w:t>i</w:t>
      </w:r>
      <w:r w:rsidR="00923BAE">
        <w:t xml:space="preserve">ncludes an example of what the Fund currently receives. </w:t>
      </w:r>
    </w:p>
    <w:p w14:paraId="05DB6E9E" w14:textId="77777777" w:rsidR="00217FC0" w:rsidRDefault="00217FC0" w:rsidP="00217FC0">
      <w:pPr>
        <w:ind w:left="284"/>
        <w:jc w:val="both"/>
      </w:pPr>
    </w:p>
    <w:p w14:paraId="4FFD6B96" w14:textId="0EAE5E5D" w:rsidR="00927177" w:rsidRDefault="00927177" w:rsidP="00927177">
      <w:pPr>
        <w:numPr>
          <w:ilvl w:val="0"/>
          <w:numId w:val="16"/>
        </w:numPr>
        <w:tabs>
          <w:tab w:val="clear" w:pos="584"/>
        </w:tabs>
        <w:ind w:left="284" w:hanging="284"/>
        <w:jc w:val="both"/>
      </w:pPr>
      <w:r>
        <w:t xml:space="preserve">A significant part of the focus of this subject is directed towards environmental and climate change issues. During the recent review of the Fund’s investment strategy, the Committee made decisions which </w:t>
      </w:r>
      <w:r w:rsidR="00E80A8A">
        <w:t xml:space="preserve">have improved the Fund’s position in this regard – i.e. </w:t>
      </w:r>
    </w:p>
    <w:p w14:paraId="48154B02" w14:textId="60C37845" w:rsidR="00927177" w:rsidRPr="00927177" w:rsidRDefault="00E80A8A" w:rsidP="00927177">
      <w:pPr>
        <w:pStyle w:val="ListParagraph"/>
        <w:numPr>
          <w:ilvl w:val="0"/>
          <w:numId w:val="23"/>
        </w:numPr>
      </w:pPr>
      <w:r>
        <w:rPr>
          <w:sz w:val="24"/>
          <w:szCs w:val="24"/>
        </w:rPr>
        <w:t>a</w:t>
      </w:r>
      <w:r w:rsidR="00927177">
        <w:rPr>
          <w:sz w:val="24"/>
          <w:szCs w:val="24"/>
        </w:rPr>
        <w:t>llocated 8% of its assets to the LCIV Sustainable Equity Fund (replacing another manager)</w:t>
      </w:r>
    </w:p>
    <w:p w14:paraId="0D3EA30F" w14:textId="5266C55D" w:rsidR="008306D5" w:rsidRDefault="00E80A8A" w:rsidP="00927177">
      <w:pPr>
        <w:pStyle w:val="ListParagraph"/>
        <w:numPr>
          <w:ilvl w:val="0"/>
          <w:numId w:val="23"/>
        </w:numPr>
        <w:rPr>
          <w:sz w:val="24"/>
          <w:szCs w:val="24"/>
        </w:rPr>
      </w:pPr>
      <w:r>
        <w:rPr>
          <w:sz w:val="24"/>
          <w:szCs w:val="24"/>
        </w:rPr>
        <w:t>a</w:t>
      </w:r>
      <w:r w:rsidR="00927177" w:rsidRPr="00927177">
        <w:rPr>
          <w:sz w:val="24"/>
          <w:szCs w:val="24"/>
        </w:rPr>
        <w:t>pproved the transfer of its passive equity portfolio</w:t>
      </w:r>
      <w:r w:rsidR="00927177">
        <w:rPr>
          <w:sz w:val="24"/>
          <w:szCs w:val="24"/>
        </w:rPr>
        <w:t xml:space="preserve"> </w:t>
      </w:r>
      <w:r w:rsidR="00927177" w:rsidRPr="00927177">
        <w:rPr>
          <w:sz w:val="24"/>
          <w:szCs w:val="24"/>
        </w:rPr>
        <w:t xml:space="preserve">managed by Blackrock </w:t>
      </w:r>
      <w:r w:rsidR="00927177">
        <w:rPr>
          <w:sz w:val="24"/>
          <w:szCs w:val="24"/>
        </w:rPr>
        <w:t>(24% of the Fund)</w:t>
      </w:r>
      <w:r w:rsidR="00927177" w:rsidRPr="00927177">
        <w:rPr>
          <w:sz w:val="24"/>
          <w:szCs w:val="24"/>
        </w:rPr>
        <w:t xml:space="preserve">, </w:t>
      </w:r>
      <w:r w:rsidR="00927177">
        <w:rPr>
          <w:sz w:val="24"/>
          <w:szCs w:val="24"/>
        </w:rPr>
        <w:t>to a Low Carbon passive fund.</w:t>
      </w:r>
    </w:p>
    <w:p w14:paraId="4BAE67BC" w14:textId="12B77EB2" w:rsidR="00B87568" w:rsidRPr="00927177" w:rsidRDefault="00B87568" w:rsidP="00927177">
      <w:pPr>
        <w:pStyle w:val="ListParagraph"/>
        <w:numPr>
          <w:ilvl w:val="0"/>
          <w:numId w:val="23"/>
        </w:numPr>
        <w:rPr>
          <w:sz w:val="24"/>
          <w:szCs w:val="24"/>
        </w:rPr>
      </w:pPr>
      <w:r>
        <w:rPr>
          <w:sz w:val="24"/>
          <w:szCs w:val="24"/>
        </w:rPr>
        <w:t xml:space="preserve">Approved an allocation of 5% of its assets to the LCIV Renewables Fund </w:t>
      </w:r>
    </w:p>
    <w:p w14:paraId="60E7929F" w14:textId="1B741FBB" w:rsidR="008306D5" w:rsidRDefault="00E80A8A" w:rsidP="008306D5">
      <w:pPr>
        <w:ind w:left="284"/>
        <w:jc w:val="both"/>
      </w:pPr>
      <w:r>
        <w:t xml:space="preserve">Blackrock will be presenting at the training session to be held before this </w:t>
      </w:r>
      <w:proofErr w:type="gramStart"/>
      <w:r>
        <w:t>meeting, and</w:t>
      </w:r>
      <w:proofErr w:type="gramEnd"/>
      <w:r>
        <w:t xml:space="preserve"> will explain in detail how the low carbon fund achieves the reduction in exposure to those assets, how they address other aspects of ESG</w:t>
      </w:r>
      <w:r w:rsidR="00470635">
        <w:t>, including voting, influencing companies in which shares are held about matters such as employee working conditions and harmful impacts in the places where they operate, and how they report this</w:t>
      </w:r>
      <w:r>
        <w:t xml:space="preserve">.  </w:t>
      </w:r>
    </w:p>
    <w:p w14:paraId="6624E450" w14:textId="3057CA73" w:rsidR="00E80A8A" w:rsidRDefault="00E80A8A" w:rsidP="008306D5">
      <w:pPr>
        <w:ind w:left="284"/>
        <w:jc w:val="both"/>
      </w:pPr>
    </w:p>
    <w:p w14:paraId="39F8FFFE" w14:textId="3C8C477A" w:rsidR="00E80A8A" w:rsidRPr="00E80A8A" w:rsidRDefault="00E80A8A" w:rsidP="00E80A8A">
      <w:pPr>
        <w:numPr>
          <w:ilvl w:val="0"/>
          <w:numId w:val="16"/>
        </w:numPr>
        <w:tabs>
          <w:tab w:val="clear" w:pos="584"/>
        </w:tabs>
        <w:ind w:left="284" w:hanging="284"/>
        <w:jc w:val="both"/>
        <w:rPr>
          <w:szCs w:val="24"/>
        </w:rPr>
      </w:pPr>
      <w:r>
        <w:t xml:space="preserve">At the last meeting, members asked about ESG reporting for the Fund as a whole. There are several challenges to reaching a point where this can be achieved </w:t>
      </w:r>
      <w:r w:rsidR="00B87568">
        <w:t xml:space="preserve">quantitatively </w:t>
      </w:r>
      <w:r>
        <w:t>on a consistent and meaningful basis, including</w:t>
      </w:r>
    </w:p>
    <w:p w14:paraId="4A300F9D" w14:textId="6754F3A8" w:rsidR="00B87568" w:rsidRDefault="00E80A8A" w:rsidP="00E80A8A">
      <w:pPr>
        <w:pStyle w:val="ListParagraph"/>
        <w:numPr>
          <w:ilvl w:val="0"/>
          <w:numId w:val="24"/>
        </w:numPr>
        <w:jc w:val="both"/>
        <w:rPr>
          <w:sz w:val="24"/>
          <w:szCs w:val="24"/>
        </w:rPr>
      </w:pPr>
      <w:r w:rsidRPr="00E80A8A">
        <w:rPr>
          <w:sz w:val="24"/>
          <w:szCs w:val="24"/>
        </w:rPr>
        <w:t>The</w:t>
      </w:r>
      <w:r w:rsidR="00B87568">
        <w:rPr>
          <w:sz w:val="24"/>
          <w:szCs w:val="24"/>
        </w:rPr>
        <w:t xml:space="preserve"> amount of information </w:t>
      </w:r>
      <w:r w:rsidR="00660EB3">
        <w:rPr>
          <w:sz w:val="24"/>
          <w:szCs w:val="24"/>
        </w:rPr>
        <w:t xml:space="preserve">currently </w:t>
      </w:r>
      <w:r w:rsidR="00B87568">
        <w:rPr>
          <w:sz w:val="24"/>
          <w:szCs w:val="24"/>
        </w:rPr>
        <w:t xml:space="preserve">available varies significantly between </w:t>
      </w:r>
      <w:r w:rsidR="00660EB3">
        <w:rPr>
          <w:sz w:val="24"/>
          <w:szCs w:val="24"/>
        </w:rPr>
        <w:t xml:space="preserve">types of assets – </w:t>
      </w:r>
      <w:proofErr w:type="gramStart"/>
      <w:r w:rsidR="00660EB3">
        <w:rPr>
          <w:sz w:val="24"/>
          <w:szCs w:val="24"/>
        </w:rPr>
        <w:t>e.g.</w:t>
      </w:r>
      <w:proofErr w:type="gramEnd"/>
      <w:r w:rsidR="00660EB3">
        <w:rPr>
          <w:sz w:val="24"/>
          <w:szCs w:val="24"/>
        </w:rPr>
        <w:t xml:space="preserve"> there is more about equities than fixed income or private markets </w:t>
      </w:r>
    </w:p>
    <w:p w14:paraId="00BFF653" w14:textId="1556194E" w:rsidR="00B87568" w:rsidRDefault="00B87568" w:rsidP="00E80A8A">
      <w:pPr>
        <w:pStyle w:val="ListParagraph"/>
        <w:numPr>
          <w:ilvl w:val="0"/>
          <w:numId w:val="24"/>
        </w:numPr>
        <w:jc w:val="both"/>
        <w:rPr>
          <w:sz w:val="24"/>
          <w:szCs w:val="24"/>
        </w:rPr>
      </w:pPr>
      <w:r>
        <w:rPr>
          <w:sz w:val="24"/>
          <w:szCs w:val="24"/>
        </w:rPr>
        <w:t>There</w:t>
      </w:r>
      <w:r w:rsidR="00E80A8A" w:rsidRPr="00E80A8A">
        <w:rPr>
          <w:sz w:val="24"/>
          <w:szCs w:val="24"/>
        </w:rPr>
        <w:t xml:space="preserve"> is currently no</w:t>
      </w:r>
      <w:r w:rsidR="00E80A8A">
        <w:rPr>
          <w:sz w:val="24"/>
          <w:szCs w:val="24"/>
        </w:rPr>
        <w:t xml:space="preserve">t a single </w:t>
      </w:r>
      <w:r>
        <w:rPr>
          <w:sz w:val="24"/>
          <w:szCs w:val="24"/>
        </w:rPr>
        <w:t xml:space="preserve">standard against which companies / managers measure and report this data </w:t>
      </w:r>
    </w:p>
    <w:p w14:paraId="41397201" w14:textId="45F6713E" w:rsidR="00E80A8A" w:rsidRPr="00660EB3" w:rsidRDefault="00660EB3" w:rsidP="00E80A8A">
      <w:pPr>
        <w:pStyle w:val="ListParagraph"/>
        <w:numPr>
          <w:ilvl w:val="0"/>
          <w:numId w:val="24"/>
        </w:numPr>
        <w:jc w:val="both"/>
        <w:rPr>
          <w:sz w:val="24"/>
          <w:szCs w:val="24"/>
        </w:rPr>
      </w:pPr>
      <w:r>
        <w:rPr>
          <w:sz w:val="24"/>
          <w:szCs w:val="24"/>
        </w:rPr>
        <w:t xml:space="preserve">The </w:t>
      </w:r>
      <w:r w:rsidRPr="00660EB3">
        <w:rPr>
          <w:sz w:val="24"/>
          <w:szCs w:val="24"/>
        </w:rPr>
        <w:t xml:space="preserve">extent to which investors can influence and hold </w:t>
      </w:r>
      <w:r w:rsidR="00B87568" w:rsidRPr="00660EB3">
        <w:rPr>
          <w:sz w:val="24"/>
          <w:szCs w:val="24"/>
        </w:rPr>
        <w:t xml:space="preserve">organisations </w:t>
      </w:r>
      <w:r w:rsidRPr="00660EB3">
        <w:rPr>
          <w:sz w:val="24"/>
          <w:szCs w:val="24"/>
        </w:rPr>
        <w:t xml:space="preserve">to account is greater in the case of equities (through shareholder voting rights) than in other asset classes. </w:t>
      </w:r>
    </w:p>
    <w:p w14:paraId="0CABEE09" w14:textId="479729FB" w:rsidR="00660EB3" w:rsidRPr="00660EB3" w:rsidRDefault="00660EB3" w:rsidP="00660EB3">
      <w:pPr>
        <w:pStyle w:val="ListParagraph"/>
        <w:numPr>
          <w:ilvl w:val="0"/>
          <w:numId w:val="24"/>
        </w:numPr>
        <w:jc w:val="both"/>
        <w:rPr>
          <w:sz w:val="24"/>
          <w:szCs w:val="24"/>
        </w:rPr>
      </w:pPr>
      <w:r w:rsidRPr="00660EB3">
        <w:rPr>
          <w:sz w:val="24"/>
          <w:szCs w:val="24"/>
        </w:rPr>
        <w:t>The Fund does not invest directly in any companies</w:t>
      </w:r>
      <w:r>
        <w:rPr>
          <w:sz w:val="24"/>
          <w:szCs w:val="24"/>
        </w:rPr>
        <w:t xml:space="preserve"> - </w:t>
      </w:r>
      <w:proofErr w:type="gramStart"/>
      <w:r w:rsidRPr="00660EB3">
        <w:rPr>
          <w:sz w:val="24"/>
          <w:szCs w:val="24"/>
        </w:rPr>
        <w:t>all of</w:t>
      </w:r>
      <w:proofErr w:type="gramEnd"/>
      <w:r w:rsidRPr="00660EB3">
        <w:rPr>
          <w:sz w:val="24"/>
          <w:szCs w:val="24"/>
        </w:rPr>
        <w:t xml:space="preserve"> its investments are held </w:t>
      </w:r>
      <w:r>
        <w:rPr>
          <w:sz w:val="24"/>
          <w:szCs w:val="24"/>
        </w:rPr>
        <w:t xml:space="preserve">in pooled funds. </w:t>
      </w:r>
      <w:r w:rsidR="00543F46">
        <w:rPr>
          <w:sz w:val="24"/>
          <w:szCs w:val="24"/>
        </w:rPr>
        <w:t>Consequently</w:t>
      </w:r>
      <w:r w:rsidR="00470635">
        <w:rPr>
          <w:sz w:val="24"/>
          <w:szCs w:val="24"/>
        </w:rPr>
        <w:t xml:space="preserve">, LBH does not have direct voting rights – it therefore relies on its chosen fund managers to exert influence through voting and other measures as appropriate. </w:t>
      </w:r>
    </w:p>
    <w:p w14:paraId="1B6B30DF" w14:textId="77777777" w:rsidR="00660EB3" w:rsidRDefault="00660EB3" w:rsidP="00660EB3">
      <w:pPr>
        <w:ind w:left="284"/>
        <w:jc w:val="both"/>
        <w:rPr>
          <w:highlight w:val="yellow"/>
        </w:rPr>
      </w:pPr>
    </w:p>
    <w:p w14:paraId="77034469" w14:textId="2286CC07" w:rsidR="007808A7" w:rsidRPr="00A74022" w:rsidRDefault="00660EB3" w:rsidP="007808A7">
      <w:pPr>
        <w:numPr>
          <w:ilvl w:val="0"/>
          <w:numId w:val="16"/>
        </w:numPr>
        <w:tabs>
          <w:tab w:val="clear" w:pos="584"/>
          <w:tab w:val="num" w:pos="284"/>
        </w:tabs>
        <w:ind w:left="284" w:hanging="284"/>
        <w:jc w:val="both"/>
      </w:pPr>
      <w:r w:rsidRPr="00A74022">
        <w:t xml:space="preserve">As an example of what is currently available / received, the London CIV’s </w:t>
      </w:r>
      <w:r w:rsidR="00470635" w:rsidRPr="00A74022">
        <w:t xml:space="preserve">ACS </w:t>
      </w:r>
      <w:r w:rsidRPr="00A74022">
        <w:t xml:space="preserve">Quarterly LPP report to 30 June 2021 is attached as appendix 1 (Exempt). </w:t>
      </w:r>
      <w:r w:rsidR="00A74022" w:rsidRPr="00A74022">
        <w:t>Th</w:t>
      </w:r>
      <w:r w:rsidR="00470635" w:rsidRPr="00A74022">
        <w:t xml:space="preserve">e report covers only those LCIV investments which are part of the ACS – </w:t>
      </w:r>
      <w:proofErr w:type="gramStart"/>
      <w:r w:rsidR="00470635" w:rsidRPr="00A74022">
        <w:t>i</w:t>
      </w:r>
      <w:r w:rsidR="00A74022" w:rsidRPr="00A74022">
        <w:t>.</w:t>
      </w:r>
      <w:r w:rsidR="00470635" w:rsidRPr="00A74022">
        <w:t>e</w:t>
      </w:r>
      <w:r w:rsidR="00A74022" w:rsidRPr="00A74022">
        <w:t>.</w:t>
      </w:r>
      <w:proofErr w:type="gramEnd"/>
      <w:r w:rsidR="00470635" w:rsidRPr="00A74022">
        <w:t xml:space="preserve"> the equity and </w:t>
      </w:r>
      <w:r w:rsidR="00A74022" w:rsidRPr="00A74022">
        <w:t>fixed income</w:t>
      </w:r>
      <w:r w:rsidR="00470635" w:rsidRPr="00A74022">
        <w:t xml:space="preserve"> investments. The London CIV (at the request of client funds) has been working to develop </w:t>
      </w:r>
      <w:r w:rsidR="00A74022" w:rsidRPr="00A74022">
        <w:t xml:space="preserve">ESG </w:t>
      </w:r>
      <w:r w:rsidR="00470635" w:rsidRPr="00A74022">
        <w:t>reporting across the range of funds it manages</w:t>
      </w:r>
      <w:r w:rsidR="00A74022" w:rsidRPr="00A74022">
        <w:t>. The detail of individual funds, which begins on page 15 of the report, includes a section on ESG activity, initiatives, (voting – equities only) and climate change for each fund.</w:t>
      </w:r>
      <w:r w:rsidR="00470635" w:rsidRPr="00A74022">
        <w:t xml:space="preserve"> </w:t>
      </w:r>
      <w:r w:rsidRPr="00A74022">
        <w:t xml:space="preserve"> </w:t>
      </w:r>
    </w:p>
    <w:p w14:paraId="284DE1DD" w14:textId="77777777" w:rsidR="00A74022" w:rsidRPr="00A74022" w:rsidRDefault="00A74022" w:rsidP="00A74022">
      <w:pPr>
        <w:ind w:left="284"/>
        <w:jc w:val="both"/>
      </w:pPr>
    </w:p>
    <w:p w14:paraId="6E2512B6" w14:textId="7A0C452B" w:rsidR="00A74022" w:rsidRDefault="00013E4E" w:rsidP="00013E4E">
      <w:pPr>
        <w:numPr>
          <w:ilvl w:val="0"/>
          <w:numId w:val="16"/>
        </w:numPr>
        <w:tabs>
          <w:tab w:val="clear" w:pos="584"/>
        </w:tabs>
        <w:ind w:left="284" w:hanging="284"/>
        <w:jc w:val="both"/>
      </w:pPr>
      <w:r w:rsidRPr="00A74022">
        <w:t xml:space="preserve">Officers </w:t>
      </w:r>
      <w:r w:rsidR="00A74022">
        <w:t xml:space="preserve">will work with the fund’s other managers to ascertain what their current ESG reporting is and how this can be developed. </w:t>
      </w:r>
    </w:p>
    <w:p w14:paraId="1F4BC167" w14:textId="77777777" w:rsidR="00A74022" w:rsidRDefault="00A74022" w:rsidP="00A74022">
      <w:pPr>
        <w:pStyle w:val="ListParagraph"/>
      </w:pPr>
    </w:p>
    <w:p w14:paraId="6ADA2D80" w14:textId="376F03A0" w:rsidR="00303D9F" w:rsidRPr="0006111E" w:rsidRDefault="00303D9F" w:rsidP="00013E4E">
      <w:pPr>
        <w:numPr>
          <w:ilvl w:val="0"/>
          <w:numId w:val="16"/>
        </w:numPr>
        <w:tabs>
          <w:tab w:val="clear" w:pos="584"/>
        </w:tabs>
        <w:ind w:left="284" w:hanging="284"/>
        <w:jc w:val="both"/>
      </w:pPr>
      <w:r w:rsidRPr="0006111E">
        <w:t xml:space="preserve">Aon has undertaken some work in this </w:t>
      </w:r>
      <w:proofErr w:type="gramStart"/>
      <w:r w:rsidRPr="0006111E">
        <w:t>area, and</w:t>
      </w:r>
      <w:proofErr w:type="gramEnd"/>
      <w:r w:rsidRPr="0006111E">
        <w:t xml:space="preserve"> has developed a reporting template which is attached at Appendix 2</w:t>
      </w:r>
      <w:r w:rsidR="0006111E">
        <w:t xml:space="preserve"> (Exempt).</w:t>
      </w:r>
    </w:p>
    <w:p w14:paraId="4F107FC2" w14:textId="77777777" w:rsidR="00303D9F" w:rsidRDefault="00303D9F" w:rsidP="00303D9F">
      <w:pPr>
        <w:pStyle w:val="ListParagraph"/>
      </w:pPr>
    </w:p>
    <w:p w14:paraId="0B6349A3" w14:textId="30A2A67F" w:rsidR="007808A7" w:rsidRPr="00A74022" w:rsidRDefault="00A74022" w:rsidP="00013E4E">
      <w:pPr>
        <w:numPr>
          <w:ilvl w:val="0"/>
          <w:numId w:val="16"/>
        </w:numPr>
        <w:tabs>
          <w:tab w:val="clear" w:pos="584"/>
        </w:tabs>
        <w:ind w:left="284" w:hanging="284"/>
        <w:jc w:val="both"/>
      </w:pPr>
      <w:r>
        <w:t xml:space="preserve">The Committee is asked to consider the report and advise on how it would like to develop this reporting further.  </w:t>
      </w:r>
      <w:bookmarkEnd w:id="0"/>
    </w:p>
    <w:p w14:paraId="3469E0D9" w14:textId="621B169D" w:rsidR="00213BE7" w:rsidRDefault="00213BE7" w:rsidP="00213BE7">
      <w:pPr>
        <w:pStyle w:val="Heading2"/>
      </w:pPr>
      <w:r w:rsidRPr="00A74022">
        <w:t>Legal Implications</w:t>
      </w:r>
    </w:p>
    <w:p w14:paraId="443F8251" w14:textId="53772BE0" w:rsidR="00180D94" w:rsidRDefault="00180D94" w:rsidP="00180D94"/>
    <w:p w14:paraId="75D7E075" w14:textId="102504C4" w:rsidR="00A80313" w:rsidRPr="00A80313" w:rsidRDefault="00180D94" w:rsidP="00A80313">
      <w:pPr>
        <w:pStyle w:val="ListParagraph"/>
        <w:numPr>
          <w:ilvl w:val="0"/>
          <w:numId w:val="16"/>
        </w:numPr>
        <w:rPr>
          <w:sz w:val="24"/>
          <w:szCs w:val="24"/>
        </w:rPr>
      </w:pPr>
      <w:r w:rsidRPr="00F22AA0">
        <w:rPr>
          <w:sz w:val="24"/>
          <w:szCs w:val="24"/>
        </w:rPr>
        <w:t>There are no direct legal implications arising from this report.</w:t>
      </w:r>
      <w:r w:rsidR="00A80313">
        <w:rPr>
          <w:sz w:val="24"/>
          <w:szCs w:val="24"/>
        </w:rPr>
        <w:t xml:space="preserve"> As indicated above, the Fund is required to publish its Investment strategy Statement to comply with the LGPS (Management and Investment of Funds) Regulations 2016.</w:t>
      </w:r>
    </w:p>
    <w:p w14:paraId="41BB405D" w14:textId="77777777" w:rsidR="002A2389" w:rsidRDefault="002A2389" w:rsidP="003D2FFE">
      <w:pPr>
        <w:pStyle w:val="Heading2"/>
        <w:spacing w:after="240"/>
      </w:pPr>
      <w:r>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60A6EF" w14:textId="5DE2FE7F"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6D6B23">
        <w:t xml:space="preserve">was </w:t>
      </w:r>
      <w:r>
        <w:t xml:space="preserve">carried out </w:t>
      </w:r>
      <w:r w:rsidR="006D6B23">
        <w:t>at the 24</w:t>
      </w:r>
      <w:r w:rsidR="006D6B23" w:rsidRPr="006D6B23">
        <w:rPr>
          <w:vertAlign w:val="superscript"/>
        </w:rPr>
        <w:t>th</w:t>
      </w:r>
      <w:r w:rsidR="006D6B23">
        <w:t xml:space="preserve"> June meeting of the Committee.</w:t>
      </w:r>
      <w:r>
        <w:t xml:space="preserve"> </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3336346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180D94">
      <w:pPr>
        <w:pStyle w:val="Heading2"/>
        <w:keepNext/>
        <w:spacing w:after="240"/>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180D94">
      <w:pPr>
        <w:autoSpaceDE w:val="0"/>
        <w:autoSpaceDN w:val="0"/>
        <w:adjustRightInd w:val="0"/>
        <w:ind w:left="426"/>
      </w:pPr>
      <w:r>
        <w:t>There are no direct equalities implications arising from this report.</w:t>
      </w: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76DCB596" w14:textId="5EC13A9D" w:rsidR="00FD31A0" w:rsidRPr="00180D94" w:rsidRDefault="00180D94" w:rsidP="00FD31A0">
      <w:pPr>
        <w:numPr>
          <w:ilvl w:val="0"/>
          <w:numId w:val="16"/>
        </w:numPr>
        <w:autoSpaceDE w:val="0"/>
        <w:autoSpaceDN w:val="0"/>
        <w:adjustRightInd w:val="0"/>
        <w:ind w:left="426" w:hanging="426"/>
        <w:rPr>
          <w:rFonts w:cs="Arial"/>
          <w:color w:val="000000"/>
          <w:szCs w:val="24"/>
          <w:lang w:eastAsia="en-GB"/>
        </w:rPr>
      </w:pPr>
      <w:r w:rsidRPr="002E705F">
        <w:rPr>
          <w:szCs w:val="24"/>
          <w:lang w:val="en-US"/>
        </w:rPr>
        <w:t>The performance of the Pension Fund directly affects the level of employer contribution which then, in turn, affects the resources available for the Council’s priorities</w:t>
      </w:r>
      <w:r w:rsidR="00F22AA0">
        <w:rPr>
          <w:szCs w:val="24"/>
          <w:lang w:val="en-US"/>
        </w:rPr>
        <w:t>.</w:t>
      </w:r>
      <w:r>
        <w:t xml:space="preserve"> </w:t>
      </w:r>
    </w:p>
    <w:p w14:paraId="0C2F27D8" w14:textId="77777777" w:rsidR="00FD31A0" w:rsidRPr="004A2543" w:rsidRDefault="00FD31A0" w:rsidP="00FD31A0"/>
    <w:p w14:paraId="11BF41CC" w14:textId="77777777" w:rsidR="002A2389" w:rsidRDefault="002A2389" w:rsidP="00912904">
      <w:pPr>
        <w:pStyle w:val="Heading2"/>
      </w:pPr>
      <w:r>
        <w:lastRenderedPageBreak/>
        <w:t>Section 3 - Statutory Officer Clearance</w:t>
      </w:r>
    </w:p>
    <w:p w14:paraId="077143F8" w14:textId="77777777" w:rsidR="002A2389" w:rsidRDefault="002A2389" w:rsidP="008D1750">
      <w:pPr>
        <w:keepNext/>
        <w:rPr>
          <w:rFonts w:cs="Arial"/>
        </w:rPr>
      </w:pPr>
    </w:p>
    <w:p w14:paraId="1F493ADE" w14:textId="08918174" w:rsidR="00912904" w:rsidRPr="00A66326" w:rsidRDefault="00912904" w:rsidP="00912904">
      <w:pPr>
        <w:rPr>
          <w:sz w:val="28"/>
        </w:rPr>
      </w:pPr>
      <w:r w:rsidRPr="00A66326">
        <w:rPr>
          <w:b/>
          <w:sz w:val="28"/>
        </w:rPr>
        <w:t xml:space="preserve">Statutory Officer:  </w:t>
      </w:r>
      <w:r w:rsidR="003E3902">
        <w:rPr>
          <w:b/>
          <w:sz w:val="28"/>
        </w:rPr>
        <w:t>Dawn Calvert</w:t>
      </w:r>
    </w:p>
    <w:p w14:paraId="57640BD9" w14:textId="64851CBC" w:rsidR="00912904" w:rsidRDefault="00912904" w:rsidP="00912904">
      <w:r w:rsidRPr="00A66326">
        <w:t>Signed by the Chief Financial Officer</w:t>
      </w:r>
    </w:p>
    <w:p w14:paraId="5745A2E3" w14:textId="57C75AE8" w:rsidR="00912904" w:rsidRPr="00A66326" w:rsidRDefault="00912904" w:rsidP="00912904">
      <w:pPr>
        <w:spacing w:after="480"/>
        <w:rPr>
          <w:sz w:val="28"/>
        </w:rPr>
      </w:pPr>
      <w:r w:rsidRPr="00A66326">
        <w:rPr>
          <w:b/>
          <w:sz w:val="28"/>
        </w:rPr>
        <w:t xml:space="preserve">Date:  </w:t>
      </w:r>
      <w:r w:rsidR="003E3902">
        <w:rPr>
          <w:b/>
          <w:sz w:val="28"/>
        </w:rPr>
        <w:t>31/08/2021</w:t>
      </w:r>
    </w:p>
    <w:p w14:paraId="2586CC50" w14:textId="0D0A6333" w:rsidR="00912904" w:rsidRPr="00A66326" w:rsidRDefault="00912904" w:rsidP="00912904">
      <w:pPr>
        <w:rPr>
          <w:sz w:val="28"/>
        </w:rPr>
      </w:pPr>
      <w:r w:rsidRPr="00A66326">
        <w:rPr>
          <w:b/>
          <w:sz w:val="28"/>
        </w:rPr>
        <w:t xml:space="preserve">Statutory Officer:  </w:t>
      </w:r>
      <w:proofErr w:type="spellStart"/>
      <w:r w:rsidR="006F6481">
        <w:rPr>
          <w:b/>
          <w:sz w:val="28"/>
        </w:rPr>
        <w:t>Joane</w:t>
      </w:r>
      <w:proofErr w:type="spellEnd"/>
      <w:r w:rsidR="006F6481">
        <w:rPr>
          <w:b/>
          <w:sz w:val="28"/>
        </w:rPr>
        <w:t xml:space="preserve"> Mohan</w:t>
      </w:r>
    </w:p>
    <w:p w14:paraId="3F58D77A" w14:textId="60ABC8E9" w:rsidR="00912904" w:rsidRPr="00A66326" w:rsidRDefault="00912904" w:rsidP="00912904">
      <w:r w:rsidRPr="00A66326">
        <w:t>Signed on behalf of the Monitoring Officer</w:t>
      </w:r>
    </w:p>
    <w:p w14:paraId="61F8C7E6" w14:textId="5891D02C" w:rsidR="00912904" w:rsidRPr="003313EA" w:rsidRDefault="00912904" w:rsidP="00912904">
      <w:pPr>
        <w:spacing w:after="480"/>
        <w:rPr>
          <w:sz w:val="28"/>
        </w:rPr>
      </w:pPr>
      <w:r w:rsidRPr="00A66326">
        <w:rPr>
          <w:b/>
          <w:sz w:val="28"/>
        </w:rPr>
        <w:t xml:space="preserve">Date:  </w:t>
      </w:r>
      <w:r w:rsidR="006F6481">
        <w:rPr>
          <w:b/>
          <w:sz w:val="28"/>
        </w:rPr>
        <w:t>31/08/2021</w:t>
      </w:r>
    </w:p>
    <w:p w14:paraId="2019A53D" w14:textId="3D5B5C9F"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 </w:t>
      </w:r>
      <w:r w:rsidR="00DB2AF8">
        <w:rPr>
          <w:b/>
          <w:sz w:val="28"/>
        </w:rPr>
        <w:t>Charlie Stewart</w:t>
      </w:r>
    </w:p>
    <w:p w14:paraId="12E4D11B" w14:textId="77777777" w:rsidR="00912904" w:rsidRPr="00A66326" w:rsidRDefault="00365D29" w:rsidP="00912904">
      <w:r>
        <w:t>Signed</w:t>
      </w:r>
      <w:r w:rsidR="00912904" w:rsidRPr="00A66326">
        <w:t xml:space="preserve"> by the Corporate Director</w:t>
      </w:r>
    </w:p>
    <w:p w14:paraId="21482980" w14:textId="3C03B54D" w:rsidR="00912904" w:rsidRPr="00A66326" w:rsidRDefault="00912904" w:rsidP="00912904">
      <w:pPr>
        <w:spacing w:after="480"/>
        <w:rPr>
          <w:sz w:val="28"/>
        </w:rPr>
      </w:pPr>
      <w:r w:rsidRPr="00A66326">
        <w:rPr>
          <w:b/>
          <w:sz w:val="28"/>
        </w:rPr>
        <w:t xml:space="preserve">Date:  </w:t>
      </w:r>
      <w:r w:rsidR="00DB2AF8">
        <w:rPr>
          <w:b/>
          <w:sz w:val="28"/>
        </w:rPr>
        <w:t>31/08/2021</w:t>
      </w:r>
    </w:p>
    <w:p w14:paraId="686CE5D8" w14:textId="77777777" w:rsidR="00912904" w:rsidRPr="00435B5D" w:rsidRDefault="00912904" w:rsidP="00912904">
      <w:pPr>
        <w:pStyle w:val="Heading2"/>
        <w:spacing w:after="240"/>
      </w:pPr>
      <w:r>
        <w:t>Mandatory Checks</w:t>
      </w:r>
    </w:p>
    <w:p w14:paraId="71FBC41D" w14:textId="14DE02B4" w:rsidR="00912904" w:rsidRPr="003313EA" w:rsidRDefault="00912904" w:rsidP="00180D94">
      <w:pPr>
        <w:pStyle w:val="Heading3"/>
        <w:ind w:left="0" w:firstLine="0"/>
        <w:rPr>
          <w:i/>
          <w:color w:val="FF0000"/>
          <w:szCs w:val="24"/>
        </w:rPr>
      </w:pPr>
      <w:r w:rsidRPr="00E90AFF">
        <w:rPr>
          <w:sz w:val="28"/>
        </w:rPr>
        <w:t xml:space="preserve">Ward Councillors notified:  </w:t>
      </w:r>
      <w:r w:rsidR="00180D94">
        <w:rPr>
          <w:sz w:val="28"/>
        </w:rPr>
        <w:t>Not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38A0A7A9" w14:textId="77777777" w:rsidR="00180D94" w:rsidRDefault="00180D94" w:rsidP="00180D94">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064CDBC2" w14:textId="77777777" w:rsidR="00180D94" w:rsidRPr="00DD6270" w:rsidRDefault="00180D94" w:rsidP="00180D94">
      <w:pPr>
        <w:pStyle w:val="Infotext"/>
      </w:pPr>
      <w:r w:rsidRPr="00DD6270">
        <w:rPr>
          <w:rStyle w:val="Hyperlink"/>
          <w:color w:val="auto"/>
          <w:sz w:val="24"/>
          <w:szCs w:val="24"/>
          <w:u w:val="none"/>
        </w:rPr>
        <w:t>Telephone 020 8</w:t>
      </w:r>
      <w:r>
        <w:rPr>
          <w:rStyle w:val="Hyperlink"/>
          <w:color w:val="auto"/>
          <w:sz w:val="24"/>
          <w:szCs w:val="24"/>
          <w:u w:val="none"/>
        </w:rPr>
        <w:t>736 6552</w:t>
      </w:r>
    </w:p>
    <w:p w14:paraId="0AC2AC5C" w14:textId="618C4BE2" w:rsidR="00912904" w:rsidRDefault="002A2389" w:rsidP="00180D94">
      <w:pPr>
        <w:pStyle w:val="Infotext"/>
        <w:spacing w:before="360"/>
      </w:pPr>
      <w:r w:rsidRPr="00D914D2">
        <w:rPr>
          <w:b/>
        </w:rPr>
        <w:t>Background Papers</w:t>
      </w:r>
      <w:r>
        <w:t xml:space="preserve">:  </w:t>
      </w:r>
      <w:r w:rsidR="00180D94">
        <w:t xml:space="preserve">None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02DC182A"/>
    <w:lvl w:ilvl="0" w:tplc="AE7086E8">
      <w:start w:val="1"/>
      <w:numFmt w:val="decimal"/>
      <w:lvlText w:val="%1."/>
      <w:lvlJc w:val="left"/>
      <w:pPr>
        <w:tabs>
          <w:tab w:val="num" w:pos="584"/>
        </w:tabs>
        <w:ind w:left="584" w:hanging="397"/>
      </w:pPr>
      <w:rPr>
        <w:rFonts w:hint="default"/>
        <w:color w:val="auto"/>
      </w:rPr>
    </w:lvl>
    <w:lvl w:ilvl="1" w:tplc="04090019">
      <w:start w:val="1"/>
      <w:numFmt w:val="lowerLetter"/>
      <w:lvlText w:val="%2."/>
      <w:lvlJc w:val="left"/>
      <w:pPr>
        <w:tabs>
          <w:tab w:val="num" w:pos="1440"/>
        </w:tabs>
        <w:ind w:left="1440" w:hanging="360"/>
      </w:pPr>
    </w:lvl>
    <w:lvl w:ilvl="2" w:tplc="633EB7D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41789"/>
    <w:multiLevelType w:val="hybridMultilevel"/>
    <w:tmpl w:val="228CA9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91381"/>
    <w:multiLevelType w:val="hybridMultilevel"/>
    <w:tmpl w:val="EA2A0F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D60971"/>
    <w:multiLevelType w:val="hybridMultilevel"/>
    <w:tmpl w:val="A98609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84E38"/>
    <w:multiLevelType w:val="hybridMultilevel"/>
    <w:tmpl w:val="F3025F5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3E385A"/>
    <w:multiLevelType w:val="hybridMultilevel"/>
    <w:tmpl w:val="4B0EC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5"/>
  </w:num>
  <w:num w:numId="9">
    <w:abstractNumId w:val="3"/>
  </w:num>
  <w:num w:numId="10">
    <w:abstractNumId w:val="16"/>
  </w:num>
  <w:num w:numId="11">
    <w:abstractNumId w:val="22"/>
  </w:num>
  <w:num w:numId="12">
    <w:abstractNumId w:val="15"/>
  </w:num>
  <w:num w:numId="13">
    <w:abstractNumId w:val="2"/>
  </w:num>
  <w:num w:numId="14">
    <w:abstractNumId w:val="6"/>
  </w:num>
  <w:num w:numId="15">
    <w:abstractNumId w:val="12"/>
  </w:num>
  <w:num w:numId="16">
    <w:abstractNumId w:val="4"/>
  </w:num>
  <w:num w:numId="17">
    <w:abstractNumId w:val="8"/>
  </w:num>
  <w:num w:numId="18">
    <w:abstractNumId w:val="20"/>
  </w:num>
  <w:num w:numId="19">
    <w:abstractNumId w:val="0"/>
  </w:num>
  <w:num w:numId="20">
    <w:abstractNumId w:val="17"/>
  </w:num>
  <w:num w:numId="21">
    <w:abstractNumId w:val="21"/>
  </w:num>
  <w:num w:numId="22">
    <w:abstractNumId w:val="7"/>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3E4E"/>
    <w:rsid w:val="00023F4C"/>
    <w:rsid w:val="00057F10"/>
    <w:rsid w:val="0006111E"/>
    <w:rsid w:val="000633A2"/>
    <w:rsid w:val="00071EB4"/>
    <w:rsid w:val="00077298"/>
    <w:rsid w:val="000967C9"/>
    <w:rsid w:val="000A58A1"/>
    <w:rsid w:val="000A6659"/>
    <w:rsid w:val="000B0E6F"/>
    <w:rsid w:val="000B6DBB"/>
    <w:rsid w:val="000D2BF2"/>
    <w:rsid w:val="000D5870"/>
    <w:rsid w:val="000F65C0"/>
    <w:rsid w:val="00134D55"/>
    <w:rsid w:val="00180D94"/>
    <w:rsid w:val="001939BA"/>
    <w:rsid w:val="001A6EB0"/>
    <w:rsid w:val="001B441D"/>
    <w:rsid w:val="001C5225"/>
    <w:rsid w:val="001E0219"/>
    <w:rsid w:val="001E604B"/>
    <w:rsid w:val="00213BE7"/>
    <w:rsid w:val="00217FC0"/>
    <w:rsid w:val="00231A1D"/>
    <w:rsid w:val="00244120"/>
    <w:rsid w:val="00293F9F"/>
    <w:rsid w:val="002A2389"/>
    <w:rsid w:val="002B62F0"/>
    <w:rsid w:val="002C08E2"/>
    <w:rsid w:val="002C1794"/>
    <w:rsid w:val="002D2FC5"/>
    <w:rsid w:val="002E6637"/>
    <w:rsid w:val="002E77E3"/>
    <w:rsid w:val="002F0E81"/>
    <w:rsid w:val="00303D9F"/>
    <w:rsid w:val="00332947"/>
    <w:rsid w:val="00333EB4"/>
    <w:rsid w:val="00345915"/>
    <w:rsid w:val="00365C6B"/>
    <w:rsid w:val="00365D29"/>
    <w:rsid w:val="00374F22"/>
    <w:rsid w:val="00385716"/>
    <w:rsid w:val="003D2FFE"/>
    <w:rsid w:val="003D5F0A"/>
    <w:rsid w:val="003D73DF"/>
    <w:rsid w:val="003E3902"/>
    <w:rsid w:val="003E6A2D"/>
    <w:rsid w:val="00400032"/>
    <w:rsid w:val="0042394B"/>
    <w:rsid w:val="00470635"/>
    <w:rsid w:val="00473B08"/>
    <w:rsid w:val="00474B5F"/>
    <w:rsid w:val="004A3CE6"/>
    <w:rsid w:val="004A4A1D"/>
    <w:rsid w:val="004B2C9D"/>
    <w:rsid w:val="004B4A47"/>
    <w:rsid w:val="004E667D"/>
    <w:rsid w:val="004E6AF9"/>
    <w:rsid w:val="005031DF"/>
    <w:rsid w:val="00534BAA"/>
    <w:rsid w:val="00543F46"/>
    <w:rsid w:val="00597314"/>
    <w:rsid w:val="005A61AF"/>
    <w:rsid w:val="005D0886"/>
    <w:rsid w:val="005E384D"/>
    <w:rsid w:val="005F2181"/>
    <w:rsid w:val="005F61BC"/>
    <w:rsid w:val="005F724B"/>
    <w:rsid w:val="00606705"/>
    <w:rsid w:val="00625DFF"/>
    <w:rsid w:val="0063072B"/>
    <w:rsid w:val="00660EB3"/>
    <w:rsid w:val="00662891"/>
    <w:rsid w:val="006628B7"/>
    <w:rsid w:val="00675FCB"/>
    <w:rsid w:val="006A0B87"/>
    <w:rsid w:val="006B3942"/>
    <w:rsid w:val="006B7DC6"/>
    <w:rsid w:val="006C3914"/>
    <w:rsid w:val="006C4D4C"/>
    <w:rsid w:val="006C6CAC"/>
    <w:rsid w:val="006D3648"/>
    <w:rsid w:val="006D6B23"/>
    <w:rsid w:val="006F6481"/>
    <w:rsid w:val="006F6D50"/>
    <w:rsid w:val="00717E8A"/>
    <w:rsid w:val="0074184E"/>
    <w:rsid w:val="00743829"/>
    <w:rsid w:val="00755F8D"/>
    <w:rsid w:val="007808A7"/>
    <w:rsid w:val="007855AE"/>
    <w:rsid w:val="00796503"/>
    <w:rsid w:val="007B0CB6"/>
    <w:rsid w:val="007B4F2C"/>
    <w:rsid w:val="007D2BDA"/>
    <w:rsid w:val="007D56C8"/>
    <w:rsid w:val="007E3934"/>
    <w:rsid w:val="007E7303"/>
    <w:rsid w:val="008212A0"/>
    <w:rsid w:val="008306D5"/>
    <w:rsid w:val="00837F53"/>
    <w:rsid w:val="00862DDC"/>
    <w:rsid w:val="008D1750"/>
    <w:rsid w:val="008D7800"/>
    <w:rsid w:val="008E2910"/>
    <w:rsid w:val="008E4913"/>
    <w:rsid w:val="00900464"/>
    <w:rsid w:val="0090100E"/>
    <w:rsid w:val="00912904"/>
    <w:rsid w:val="00922249"/>
    <w:rsid w:val="00923BAE"/>
    <w:rsid w:val="00927177"/>
    <w:rsid w:val="0093767E"/>
    <w:rsid w:val="00972A02"/>
    <w:rsid w:val="0099517C"/>
    <w:rsid w:val="009A0937"/>
    <w:rsid w:val="009B2ECD"/>
    <w:rsid w:val="009B7914"/>
    <w:rsid w:val="009F430B"/>
    <w:rsid w:val="00A160B2"/>
    <w:rsid w:val="00A16271"/>
    <w:rsid w:val="00A566E7"/>
    <w:rsid w:val="00A630BF"/>
    <w:rsid w:val="00A73B25"/>
    <w:rsid w:val="00A74022"/>
    <w:rsid w:val="00A80313"/>
    <w:rsid w:val="00A940D3"/>
    <w:rsid w:val="00A96FCA"/>
    <w:rsid w:val="00AA4BE8"/>
    <w:rsid w:val="00AB1EE3"/>
    <w:rsid w:val="00AC0AAB"/>
    <w:rsid w:val="00AC7BA9"/>
    <w:rsid w:val="00B0425E"/>
    <w:rsid w:val="00B26886"/>
    <w:rsid w:val="00B84A87"/>
    <w:rsid w:val="00B87568"/>
    <w:rsid w:val="00B900E2"/>
    <w:rsid w:val="00B9118E"/>
    <w:rsid w:val="00BD6115"/>
    <w:rsid w:val="00BD684A"/>
    <w:rsid w:val="00C05E9C"/>
    <w:rsid w:val="00C32DAE"/>
    <w:rsid w:val="00C40E24"/>
    <w:rsid w:val="00C61B80"/>
    <w:rsid w:val="00C92D9A"/>
    <w:rsid w:val="00C96EF5"/>
    <w:rsid w:val="00D25064"/>
    <w:rsid w:val="00D32B51"/>
    <w:rsid w:val="00D34668"/>
    <w:rsid w:val="00D3740E"/>
    <w:rsid w:val="00D40335"/>
    <w:rsid w:val="00D82F57"/>
    <w:rsid w:val="00D841A5"/>
    <w:rsid w:val="00D914D2"/>
    <w:rsid w:val="00DA25DB"/>
    <w:rsid w:val="00DB0791"/>
    <w:rsid w:val="00DB1C98"/>
    <w:rsid w:val="00DB2AF8"/>
    <w:rsid w:val="00DC506F"/>
    <w:rsid w:val="00DD4251"/>
    <w:rsid w:val="00E02B50"/>
    <w:rsid w:val="00E03F11"/>
    <w:rsid w:val="00E06DC8"/>
    <w:rsid w:val="00E220B5"/>
    <w:rsid w:val="00E2344F"/>
    <w:rsid w:val="00E33D93"/>
    <w:rsid w:val="00E609EF"/>
    <w:rsid w:val="00E80A8A"/>
    <w:rsid w:val="00E8111D"/>
    <w:rsid w:val="00E8515B"/>
    <w:rsid w:val="00E90AFF"/>
    <w:rsid w:val="00EA0AE0"/>
    <w:rsid w:val="00EC70CD"/>
    <w:rsid w:val="00EF2F91"/>
    <w:rsid w:val="00EF3F74"/>
    <w:rsid w:val="00F22AA0"/>
    <w:rsid w:val="00F33EE3"/>
    <w:rsid w:val="00F4213B"/>
    <w:rsid w:val="00F806B8"/>
    <w:rsid w:val="00F849ED"/>
    <w:rsid w:val="00F92398"/>
    <w:rsid w:val="00FD31A0"/>
    <w:rsid w:val="00FF2B1A"/>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950</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10</cp:revision>
  <cp:lastPrinted>2007-07-12T09:53:00Z</cp:lastPrinted>
  <dcterms:created xsi:type="dcterms:W3CDTF">2021-08-26T11:31:00Z</dcterms:created>
  <dcterms:modified xsi:type="dcterms:W3CDTF">2021-09-02T08:53:00Z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